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35C" w:rsidRDefault="0021335C"/>
    <w:p w:rsidR="00190CC0" w:rsidRPr="004F5E91" w:rsidRDefault="00190CC0" w:rsidP="00190CC0">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r w:rsidRPr="004F5E91">
        <w:rPr>
          <w:rFonts w:ascii="Arial" w:hAnsi="Arial" w:cs="Arial"/>
          <w:b/>
          <w:noProof/>
          <w:sz w:val="24"/>
          <w:szCs w:val="20"/>
          <w:lang w:val="en-US" w:eastAsia="zh-CN"/>
        </w:rPr>
        <w:t>3GPP TSG-RAN WG2 Meeting #</w:t>
      </w:r>
      <w:r w:rsidR="009E7268">
        <w:rPr>
          <w:rFonts w:ascii="Arial" w:hAnsi="Arial" w:cs="Arial"/>
          <w:b/>
          <w:noProof/>
          <w:sz w:val="24"/>
          <w:szCs w:val="20"/>
          <w:lang w:val="en-US" w:eastAsia="zh-CN"/>
        </w:rPr>
        <w:t>120</w:t>
      </w:r>
      <w:r w:rsidRPr="004F5E91">
        <w:rPr>
          <w:rFonts w:ascii="Arial" w:hAnsi="Arial" w:cs="Arial"/>
          <w:b/>
          <w:color w:val="000000"/>
          <w:kern w:val="2"/>
          <w:sz w:val="24"/>
          <w:szCs w:val="20"/>
          <w:lang w:val="en-US" w:eastAsia="zh-CN"/>
        </w:rPr>
        <w:tab/>
        <w:t xml:space="preserve"> </w:t>
      </w:r>
      <w:r w:rsidR="00B50F4E" w:rsidRPr="00B50F4E">
        <w:rPr>
          <w:rFonts w:ascii="Arial" w:hAnsi="Arial" w:cs="Arial"/>
          <w:b/>
          <w:bCs/>
          <w:sz w:val="26"/>
          <w:szCs w:val="26"/>
        </w:rPr>
        <w:t>R2-221</w:t>
      </w:r>
      <w:r w:rsidR="009E7268">
        <w:rPr>
          <w:rFonts w:ascii="Arial" w:hAnsi="Arial" w:cs="Arial"/>
          <w:b/>
          <w:bCs/>
          <w:sz w:val="26"/>
          <w:szCs w:val="26"/>
        </w:rPr>
        <w:t>2504</w:t>
      </w:r>
    </w:p>
    <w:p w:rsidR="009E7268" w:rsidRDefault="009E7268" w:rsidP="009E7268">
      <w:pPr>
        <w:pStyle w:val="Header"/>
      </w:pPr>
      <w:r>
        <w:t>Toulouse, France, November, 2022</w:t>
      </w:r>
    </w:p>
    <w:p w:rsidR="009E7268" w:rsidRDefault="009E7268"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w:t>
      </w:r>
      <w:r>
        <w:rPr>
          <w:rFonts w:ascii="Arial" w:hAnsi="Arial" w:cs="Arial"/>
          <w:b/>
          <w:lang w:eastAsia="zh-CN"/>
        </w:rPr>
        <w:t>12.</w:t>
      </w:r>
      <w:r w:rsidR="00B50F4E">
        <w:rPr>
          <w:rFonts w:ascii="Arial" w:hAnsi="Arial" w:cs="Arial"/>
          <w:b/>
          <w:lang w:eastAsia="zh-CN"/>
        </w:rPr>
        <w:t>2</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sidR="009E7268">
        <w:rPr>
          <w:rFonts w:ascii="Arial" w:hAnsi="Arial" w:cs="Arial"/>
          <w:b/>
          <w:lang w:eastAsia="zh-CN"/>
        </w:rPr>
        <w:t>Use of mobile IAB indication for UE</w:t>
      </w:r>
      <w:r>
        <w:rPr>
          <w:rFonts w:ascii="Arial" w:hAnsi="Arial" w:cs="Arial"/>
          <w:b/>
          <w:lang w:eastAsia="zh-CN"/>
        </w:rPr>
        <w:t xml:space="preserve"> cell selection and reselection</w:t>
      </w:r>
    </w:p>
    <w:p w:rsidR="00190CC0" w:rsidRPr="00190CC0"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F701F8" w:rsidRDefault="00190CC0" w:rsidP="00190CC0">
      <w:pPr>
        <w:pStyle w:val="Heading1"/>
      </w:pPr>
      <w:r>
        <w:t>Introduction</w:t>
      </w:r>
    </w:p>
    <w:p w:rsidR="00190CC0" w:rsidRPr="00B50F4E" w:rsidRDefault="00190CC0" w:rsidP="00B50F4E">
      <w:r>
        <w:t xml:space="preserve">WID [1] identifies the following guidance regarding target users and use of </w:t>
      </w:r>
      <w:proofErr w:type="spellStart"/>
      <w:r>
        <w:t>mIAB</w:t>
      </w:r>
      <w:proofErr w:type="spellEnd"/>
      <w:r>
        <w:t xml:space="preserve"> nodes</w:t>
      </w:r>
    </w:p>
    <w:tbl>
      <w:tblPr>
        <w:tblStyle w:val="TableGrid"/>
        <w:tblW w:w="0" w:type="auto"/>
        <w:tblLook w:val="04A0" w:firstRow="1" w:lastRow="0" w:firstColumn="1" w:lastColumn="0" w:noHBand="0" w:noVBand="1"/>
      </w:tblPr>
      <w:tblGrid>
        <w:gridCol w:w="9016"/>
      </w:tblGrid>
      <w:tr w:rsidR="00190CC0" w:rsidTr="00051A56">
        <w:tc>
          <w:tcPr>
            <w:tcW w:w="9016" w:type="dxa"/>
          </w:tcPr>
          <w:p w:rsidR="00190CC0" w:rsidRDefault="00190CC0" w:rsidP="00051A56"/>
          <w:p w:rsidR="00190CC0" w:rsidRDefault="00190CC0" w:rsidP="00051A56">
            <w:r>
              <w:t xml:space="preserve">Justification … </w:t>
            </w:r>
          </w:p>
          <w:p w:rsidR="00190CC0" w:rsidRDefault="00190CC0"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rsidR="00190CC0" w:rsidRDefault="00190CC0" w:rsidP="00051A56">
            <w:r>
              <w:t>…</w:t>
            </w:r>
          </w:p>
          <w:p w:rsidR="00190CC0" w:rsidRDefault="00190CC0" w:rsidP="00051A56">
            <w:r>
              <w:t>Objective …</w:t>
            </w:r>
          </w:p>
          <w:p w:rsidR="00B50F4E" w:rsidRDefault="00B50F4E" w:rsidP="00051A56">
            <w:pPr>
              <w:pStyle w:val="maintext"/>
              <w:spacing w:line="240" w:lineRule="auto"/>
              <w:ind w:firstLineChars="0" w:firstLine="0"/>
              <w:rPr>
                <w:rFonts w:eastAsia="Times New Roman" w:cs="Times New Roman"/>
                <w:lang w:eastAsia="en-US"/>
              </w:rPr>
            </w:pPr>
            <w:r w:rsidRPr="00B50F4E">
              <w:rPr>
                <w:rFonts w:eastAsia="Times New Roman" w:cs="Times New Roman"/>
                <w:lang w:eastAsia="en-US"/>
              </w:rPr>
              <w:t>•</w:t>
            </w:r>
            <w:r w:rsidRPr="00B50F4E">
              <w:rPr>
                <w:rFonts w:eastAsia="Times New Roman" w:cs="Times New Roman"/>
                <w:lang w:eastAsia="en-US"/>
              </w:rPr>
              <w:tab/>
              <w:t>Enhancements for mobility of an IAB-node together with its served UEs, including aspects related to group mobility. No optimizations for the targeting of surrounding UEs. [RAN3, RAN2]</w:t>
            </w:r>
          </w:p>
          <w:p w:rsidR="00B50F4E" w:rsidRDefault="00B50F4E"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w:t>
            </w:r>
          </w:p>
          <w:p w:rsidR="00190CC0" w:rsidRDefault="00190CC0"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rsidR="00190CC0" w:rsidRDefault="00190CC0" w:rsidP="00051A56">
            <w:pPr>
              <w:pStyle w:val="maintext"/>
              <w:numPr>
                <w:ilvl w:val="0"/>
                <w:numId w:val="4"/>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rsidR="00190CC0" w:rsidRPr="00696B2E" w:rsidRDefault="00190CC0" w:rsidP="00051A56">
            <w:pPr>
              <w:pStyle w:val="maintext"/>
              <w:numPr>
                <w:ilvl w:val="0"/>
                <w:numId w:val="4"/>
              </w:numPr>
              <w:spacing w:line="240" w:lineRule="auto"/>
              <w:ind w:firstLineChars="0"/>
              <w:jc w:val="left"/>
              <w:rPr>
                <w:rFonts w:eastAsia="Times New Roman" w:cs="Times New Roman"/>
                <w:lang w:eastAsia="en-US"/>
              </w:rPr>
            </w:pPr>
            <w:r w:rsidRPr="00696B2E">
              <w:rPr>
                <w:rFonts w:eastAsia="Times New Roman" w:cs="Times New Roman"/>
              </w:rPr>
              <w:t>Solutions providing optimization for Mobile IAB may entail Rel-18 UE enhancements, provided that such enhancements are backwards compatible</w:t>
            </w:r>
          </w:p>
          <w:p w:rsidR="00190CC0" w:rsidRDefault="00190CC0" w:rsidP="00051A56"/>
        </w:tc>
      </w:tr>
    </w:tbl>
    <w:p w:rsidR="00190CC0" w:rsidRDefault="00190CC0" w:rsidP="00190CC0"/>
    <w:p w:rsidR="003957A3" w:rsidRDefault="003957A3" w:rsidP="003957A3">
      <w:pPr>
        <w:rPr>
          <w:lang w:eastAsia="en-GB"/>
        </w:rPr>
      </w:pPr>
      <w:r>
        <w:rPr>
          <w:lang w:eastAsia="en-GB"/>
        </w:rPr>
        <w:t xml:space="preserve">At R2#119bis-e </w:t>
      </w:r>
      <w:r w:rsidR="00D73CF0">
        <w:rPr>
          <w:lang w:eastAsia="en-GB"/>
        </w:rPr>
        <w:t xml:space="preserve">[2] </w:t>
      </w:r>
      <w:r>
        <w:rPr>
          <w:lang w:eastAsia="en-GB"/>
        </w:rPr>
        <w:t xml:space="preserve">discussion regarding UE </w:t>
      </w:r>
      <w:r>
        <w:rPr>
          <w:lang w:eastAsia="en-GB"/>
        </w:rPr>
        <w:t>interaction</w:t>
      </w:r>
      <w:r>
        <w:rPr>
          <w:lang w:eastAsia="en-GB"/>
        </w:rPr>
        <w:t xml:space="preserve"> with cells </w:t>
      </w:r>
      <w:r>
        <w:rPr>
          <w:lang w:eastAsia="en-GB"/>
        </w:rPr>
        <w:t>of</w:t>
      </w:r>
      <w:r>
        <w:rPr>
          <w:lang w:eastAsia="en-GB"/>
        </w:rPr>
        <w:t xml:space="preserve"> a mobile IAB reached the following conclusion. </w:t>
      </w:r>
    </w:p>
    <w:tbl>
      <w:tblPr>
        <w:tblStyle w:val="TableGrid"/>
        <w:tblW w:w="0" w:type="auto"/>
        <w:tblLook w:val="04A0" w:firstRow="1" w:lastRow="0" w:firstColumn="1" w:lastColumn="0" w:noHBand="0" w:noVBand="1"/>
      </w:tblPr>
      <w:tblGrid>
        <w:gridCol w:w="9016"/>
      </w:tblGrid>
      <w:tr w:rsidR="003957A3" w:rsidTr="0092667E">
        <w:tc>
          <w:tcPr>
            <w:tcW w:w="9016" w:type="dxa"/>
          </w:tcPr>
          <w:p w:rsidR="003957A3" w:rsidRDefault="003957A3" w:rsidP="0092667E">
            <w:pPr>
              <w:pStyle w:val="Agreement"/>
              <w:numPr>
                <w:ilvl w:val="0"/>
                <w:numId w:val="0"/>
              </w:numPr>
              <w:ind w:left="91"/>
              <w:rPr>
                <w:highlight w:val="yellow"/>
              </w:rPr>
            </w:pPr>
          </w:p>
          <w:p w:rsidR="003957A3" w:rsidRPr="0089793F" w:rsidRDefault="003957A3" w:rsidP="003957A3">
            <w:pPr>
              <w:pStyle w:val="Agreement"/>
              <w:tabs>
                <w:tab w:val="clear" w:pos="1619"/>
                <w:tab w:val="num" w:pos="1302"/>
              </w:tabs>
              <w:ind w:left="451"/>
            </w:pPr>
            <w:r>
              <w:t xml:space="preserve">RAN2 assume below </w:t>
            </w:r>
            <w:r w:rsidRPr="0089793F">
              <w:t xml:space="preserve">for the UEs </w:t>
            </w:r>
            <w:r w:rsidRPr="0089793F">
              <w:rPr>
                <w:rFonts w:eastAsia="SimSun"/>
              </w:rPr>
              <w:t>working in the mobile IAB cell</w:t>
            </w:r>
            <w:r>
              <w:rPr>
                <w:rFonts w:eastAsia="SimSun"/>
              </w:rPr>
              <w:t xml:space="preserve"> (may be obvious):</w:t>
            </w:r>
          </w:p>
          <w:p w:rsidR="003957A3" w:rsidRPr="0089793F" w:rsidRDefault="003957A3" w:rsidP="003957A3">
            <w:pPr>
              <w:pStyle w:val="Agreement"/>
              <w:numPr>
                <w:ilvl w:val="0"/>
                <w:numId w:val="0"/>
              </w:numPr>
              <w:tabs>
                <w:tab w:val="num" w:pos="1302"/>
              </w:tabs>
              <w:ind w:left="451"/>
            </w:pPr>
            <w:r w:rsidRPr="0089793F">
              <w:t>Assumption 1: From the NW perspective of mobile-IAB cell, the principle of setting the legacy parameters (including cell (re)selection, cell reservations and access restrictions) does not change, compared to the legacy IAB cell.</w:t>
            </w:r>
          </w:p>
          <w:p w:rsidR="003957A3" w:rsidRDefault="003957A3" w:rsidP="003957A3">
            <w:pPr>
              <w:pStyle w:val="Agreement"/>
              <w:numPr>
                <w:ilvl w:val="0"/>
                <w:numId w:val="0"/>
              </w:numPr>
              <w:tabs>
                <w:tab w:val="num" w:pos="1302"/>
              </w:tabs>
              <w:ind w:left="451"/>
            </w:pPr>
            <w:r w:rsidRPr="0089793F">
              <w:t>Assumption 2</w:t>
            </w:r>
            <w:r w:rsidRPr="00F22209">
              <w:rPr>
                <w:highlight w:val="yellow"/>
              </w:rPr>
              <w:t xml:space="preserve">: No spec impact to legacy UEs </w:t>
            </w:r>
            <w:proofErr w:type="spellStart"/>
            <w:r w:rsidRPr="00F22209">
              <w:rPr>
                <w:highlight w:val="yellow"/>
              </w:rPr>
              <w:t>behaviors</w:t>
            </w:r>
            <w:proofErr w:type="spellEnd"/>
            <w:r w:rsidRPr="00F22209">
              <w:rPr>
                <w:highlight w:val="yellow"/>
              </w:rPr>
              <w:t>.</w:t>
            </w:r>
          </w:p>
          <w:p w:rsidR="003957A3" w:rsidRDefault="003957A3" w:rsidP="003957A3">
            <w:pPr>
              <w:pStyle w:val="Agreement"/>
              <w:numPr>
                <w:ilvl w:val="0"/>
                <w:numId w:val="0"/>
              </w:numPr>
              <w:tabs>
                <w:tab w:val="num" w:pos="1302"/>
              </w:tabs>
              <w:ind w:left="451"/>
            </w:pPr>
            <w:r>
              <w:t>Assumption 3: Any R18 newly broadcasted info of mobile-IAB cell (if agreed) does not forbid/control the access of legacy UEs.</w:t>
            </w:r>
          </w:p>
          <w:p w:rsidR="003957A3" w:rsidRPr="00690FD4" w:rsidRDefault="003957A3" w:rsidP="003957A3">
            <w:pPr>
              <w:pStyle w:val="Agreement"/>
              <w:numPr>
                <w:ilvl w:val="0"/>
                <w:numId w:val="0"/>
              </w:numPr>
              <w:tabs>
                <w:tab w:val="num" w:pos="1302"/>
              </w:tabs>
              <w:ind w:left="451"/>
            </w:pPr>
            <w:r>
              <w:t>Assumption 4: Non-enhanced UEs (including legacy UEs and R18 UEs not supporting the enhancement) just ignore the R18 newly broadcasted info of mobile-IAB cell (if agreed).</w:t>
            </w:r>
          </w:p>
          <w:p w:rsidR="003957A3" w:rsidRPr="00F22209" w:rsidRDefault="003957A3" w:rsidP="0092667E">
            <w:pPr>
              <w:pStyle w:val="Agreement"/>
              <w:tabs>
                <w:tab w:val="clear" w:pos="1619"/>
                <w:tab w:val="num" w:pos="1302"/>
              </w:tabs>
              <w:ind w:left="451"/>
              <w:rPr>
                <w:highlight w:val="yellow"/>
              </w:rPr>
            </w:pPr>
            <w:r w:rsidRPr="00A06707">
              <w:t xml:space="preserve">RAN2 assumption: For the </w:t>
            </w:r>
            <w:r w:rsidRPr="00F22209">
              <w:rPr>
                <w:highlight w:val="yellow"/>
              </w:rPr>
              <w:t>mobile IAB cell broadcasting info:</w:t>
            </w:r>
          </w:p>
          <w:p w:rsidR="003957A3" w:rsidRPr="00A06707" w:rsidRDefault="003957A3" w:rsidP="0092667E">
            <w:pPr>
              <w:pStyle w:val="Agreement"/>
              <w:numPr>
                <w:ilvl w:val="0"/>
                <w:numId w:val="0"/>
              </w:numPr>
              <w:tabs>
                <w:tab w:val="num" w:pos="1302"/>
              </w:tabs>
              <w:ind w:left="451"/>
            </w:pPr>
            <w:r w:rsidRPr="00F22209">
              <w:rPr>
                <w:highlight w:val="yellow"/>
              </w:rPr>
              <w:lastRenderedPageBreak/>
              <w:t>1 bit mobile-IAB cell type indication is introduced, to assist mobility in Idle/Inactive mode for Rel-18 UEs</w:t>
            </w:r>
            <w:r w:rsidRPr="00A06707">
              <w:t xml:space="preserve"> (FFS if to assist UE to know it is onboard, if this need to be known)</w:t>
            </w:r>
          </w:p>
          <w:p w:rsidR="003957A3" w:rsidRPr="00A06707" w:rsidRDefault="003957A3" w:rsidP="0092667E">
            <w:pPr>
              <w:pStyle w:val="Agreement"/>
              <w:ind w:left="451"/>
            </w:pPr>
            <w:r w:rsidRPr="00A06707">
              <w:t>FFS how this is used (might be implementation specific).</w:t>
            </w:r>
          </w:p>
          <w:p w:rsidR="003957A3" w:rsidRDefault="003957A3" w:rsidP="0092667E">
            <w:pPr>
              <w:rPr>
                <w:lang w:eastAsia="en-GB"/>
              </w:rPr>
            </w:pPr>
          </w:p>
        </w:tc>
      </w:tr>
    </w:tbl>
    <w:p w:rsidR="003957A3" w:rsidRDefault="003957A3" w:rsidP="003957A3">
      <w:pPr>
        <w:rPr>
          <w:lang w:eastAsia="en-GB"/>
        </w:rPr>
      </w:pPr>
    </w:p>
    <w:p w:rsidR="00FB2614" w:rsidRDefault="003957A3">
      <w:r>
        <w:t>During discussion a number of related proposals including the addition of mobility related broadcast information</w:t>
      </w:r>
      <w:r w:rsidRPr="003957A3">
        <w:t xml:space="preserve"> </w:t>
      </w:r>
      <w:r>
        <w:t>other</w:t>
      </w:r>
      <w:r>
        <w:t xml:space="preserve"> than the fore mentioned 1 bit mobile-IAB cell type was discussed. In this contribution we revisit our previous submitted scenarios [</w:t>
      </w:r>
      <w:r w:rsidR="00D73CF0">
        <w:t>3</w:t>
      </w:r>
      <w:r>
        <w:t xml:space="preserve">] with a view to demonstrate why for this release it is sufficient to rely on this single bit </w:t>
      </w:r>
      <w:r w:rsidR="00366038">
        <w:t xml:space="preserve">cell-type indication along with enhanced </w:t>
      </w:r>
      <w:r>
        <w:t>UE implementation to manage the REL18 UE on-board behaviour.</w:t>
      </w:r>
    </w:p>
    <w:p w:rsidR="00FB2614" w:rsidRDefault="00FB2614"/>
    <w:p w:rsidR="00181F8F" w:rsidRDefault="00181F8F" w:rsidP="00181F8F">
      <w:pPr>
        <w:pStyle w:val="Heading1"/>
      </w:pPr>
      <w:r>
        <w:t>Discussion</w:t>
      </w:r>
    </w:p>
    <w:p w:rsidR="00F76701" w:rsidRDefault="00366038" w:rsidP="006D3BC1">
      <w:r>
        <w:t xml:space="preserve">This work item identifies </w:t>
      </w:r>
      <w:r w:rsidR="00F22209">
        <w:t xml:space="preserve">two types of </w:t>
      </w:r>
      <w:r>
        <w:t xml:space="preserve">UE connecting to the mobile-IAB cell as either on-board or surrounding the vehicle the mobile-IAB node is mounted on. </w:t>
      </w:r>
      <w:r w:rsidR="00F22209">
        <w:t xml:space="preserve">In addition and as </w:t>
      </w:r>
      <w:r>
        <w:t xml:space="preserve">indicated in the assumptions </w:t>
      </w:r>
      <w:r w:rsidR="00F22209">
        <w:t xml:space="preserve">captured in [2] these UEs may be legacy UEs (or not supporting this REL18 feature) or REL18 UEs supporting this feature. </w:t>
      </w:r>
    </w:p>
    <w:p w:rsidR="00F22209" w:rsidRDefault="00F22209" w:rsidP="006D3BC1">
      <w:r>
        <w:t xml:space="preserve">Specifically here we consider the merits and benefits therein afforded in particular to the REL18 UEs supporting this feature, that may be gained through use of enhancements to assist in determination of on-board (and similarly leave) the </w:t>
      </w:r>
      <w:proofErr w:type="spellStart"/>
      <w:r>
        <w:t>mIAB</w:t>
      </w:r>
      <w:proofErr w:type="spellEnd"/>
      <w:r>
        <w:t xml:space="preserve">. </w:t>
      </w:r>
    </w:p>
    <w:p w:rsidR="00366038" w:rsidRDefault="00366038" w:rsidP="006D3BC1"/>
    <w:p w:rsidR="00AB0491" w:rsidRPr="00AB0491" w:rsidRDefault="00AB0491" w:rsidP="006D3BC1">
      <w:pPr>
        <w:rPr>
          <w:sz w:val="24"/>
        </w:rPr>
      </w:pPr>
      <w:r>
        <w:rPr>
          <w:sz w:val="24"/>
        </w:rPr>
        <w:t>2.1</w:t>
      </w:r>
      <w:r>
        <w:rPr>
          <w:sz w:val="24"/>
        </w:rPr>
        <w:tab/>
      </w:r>
      <w:r w:rsidRPr="00AB0491">
        <w:rPr>
          <w:sz w:val="24"/>
        </w:rPr>
        <w:t>Use of a broadcast mobile-IAB cell type indication</w:t>
      </w:r>
    </w:p>
    <w:p w:rsidR="00205A62" w:rsidRDefault="00F76701" w:rsidP="006D3BC1">
      <w:r>
        <w:t xml:space="preserve">Normally if a legacy UE moves then the legacy reselection and handover procedures ensure the UE moves to new cells in order to maintain tracking and service delivery. </w:t>
      </w:r>
    </w:p>
    <w:p w:rsidR="00F76701" w:rsidRDefault="00F76701" w:rsidP="006D3BC1"/>
    <w:p w:rsidR="00F76701" w:rsidRDefault="00F76701" w:rsidP="006D3BC1">
      <w:r>
        <w:t xml:space="preserve">Legacy UEs can be considered in two roles. In a first role </w:t>
      </w:r>
      <w:r>
        <w:t>legacy devices want to access the cell of a mobile IAB node</w:t>
      </w:r>
      <w:r>
        <w:t xml:space="preserve"> in order to gain service, and benefit of connectivity to the m</w:t>
      </w:r>
      <w:r w:rsidR="00205A62">
        <w:t>o</w:t>
      </w:r>
      <w:r>
        <w:t xml:space="preserve">bile IAB node as it subsequently moves. However as this mobile IAB moves its movement may vary considerably at any instant or period in terms of speed, direction and location. This means that at any time </w:t>
      </w:r>
      <w:r w:rsidR="000B6F16">
        <w:t>the legacy UE supporting legacy mobility procedures may either select to a legacy cell</w:t>
      </w:r>
      <w:r w:rsidR="00181459">
        <w:t>.</w:t>
      </w:r>
      <w:r w:rsidR="000B6F16">
        <w:t xml:space="preserve"> </w:t>
      </w:r>
    </w:p>
    <w:p w:rsidR="00205A62" w:rsidRDefault="00205A62" w:rsidP="006D3BC1">
      <w:r>
        <w:t xml:space="preserve">It is envisaged that through use of legacy </w:t>
      </w:r>
      <w:r w:rsidR="005A37FE">
        <w:t xml:space="preserve">RRM </w:t>
      </w:r>
      <w:r>
        <w:t xml:space="preserve">offset configuration the mobility of these legacy UEs can somewhat be controlled to avoid too frequent mobility away from the intended connection with the desired mobile IAB node cell. However this </w:t>
      </w:r>
      <w:r w:rsidR="005A37FE">
        <w:t xml:space="preserve">mobility away </w:t>
      </w:r>
      <w:r>
        <w:t xml:space="preserve">may be unavoidable in some instances, </w:t>
      </w:r>
      <w:r w:rsidR="005A37FE">
        <w:t>or alternatively</w:t>
      </w:r>
      <w:r>
        <w:t xml:space="preserve"> if the fore mention </w:t>
      </w:r>
      <w:r w:rsidR="005A37FE">
        <w:t xml:space="preserve">RRM </w:t>
      </w:r>
      <w:r>
        <w:t xml:space="preserve">parameters are set too </w:t>
      </w:r>
      <w:proofErr w:type="spellStart"/>
      <w:r w:rsidR="005A37FE">
        <w:t>aggresively</w:t>
      </w:r>
      <w:proofErr w:type="spellEnd"/>
      <w:r>
        <w:t xml:space="preserve"> they m</w:t>
      </w:r>
      <w:r w:rsidR="005A37FE">
        <w:t>ay</w:t>
      </w:r>
      <w:r>
        <w:t xml:space="preserve"> unintentionally cause excessive delay in allowing the legacy UE selecting away from the mobile IAB node when it needs to in order to preserve its ongoing service. In short relying on legacy RRM configurations may be sub-optimal in terms of ensuring UE connectivity in and around mobile IAB node cell selection</w:t>
      </w:r>
      <w:r w:rsidR="005A37FE">
        <w:t>.</w:t>
      </w:r>
    </w:p>
    <w:p w:rsidR="00205A62" w:rsidRDefault="00205A62" w:rsidP="006D3BC1"/>
    <w:p w:rsidR="003F17C8" w:rsidRDefault="00205A62" w:rsidP="003F17C8">
      <w:r>
        <w:lastRenderedPageBreak/>
        <w:t>It is envisaged therefore that a REL18 UE supporting this feature can benefit from specific enhanced behaviour, related to its desire to connect to and its knowledge of a</w:t>
      </w:r>
      <w:r w:rsidR="003F17C8">
        <w:t xml:space="preserve"> particular cell being a cell of a</w:t>
      </w:r>
      <w:r>
        <w:t xml:space="preserve"> mobile IAB node</w:t>
      </w:r>
      <w:r w:rsidR="00843BD3">
        <w:t xml:space="preserve">. </w:t>
      </w:r>
      <w:r w:rsidR="003F17C8">
        <w:t xml:space="preserve">Such </w:t>
      </w:r>
      <w:r w:rsidR="003F17C8">
        <w:t>enhanced behaviour</w:t>
      </w:r>
      <w:r w:rsidR="003F17C8">
        <w:t xml:space="preserve"> </w:t>
      </w:r>
      <w:r w:rsidR="003F17C8">
        <w:t>can be</w:t>
      </w:r>
      <w:r w:rsidR="003F17C8">
        <w:t xml:space="preserve"> supported through </w:t>
      </w:r>
      <w:r w:rsidR="003F17C8">
        <w:t xml:space="preserve">allowing </w:t>
      </w:r>
      <w:r w:rsidR="003F17C8">
        <w:t xml:space="preserve">UE implementation to </w:t>
      </w:r>
      <w:r w:rsidR="005A37FE">
        <w:t xml:space="preserve">use a broadcast mobile IAB cell type indication to </w:t>
      </w:r>
      <w:r w:rsidR="003F17C8">
        <w:t xml:space="preserve">determine on-board status, </w:t>
      </w:r>
      <w:r w:rsidR="003F17C8">
        <w:t>following which</w:t>
      </w:r>
      <w:r w:rsidR="003F17C8">
        <w:t xml:space="preserve"> the enhanced behaviours are </w:t>
      </w:r>
      <w:r w:rsidR="003F17C8">
        <w:t>specified where appropriate</w:t>
      </w:r>
      <w:r w:rsidR="003F17C8">
        <w:t xml:space="preserve">. </w:t>
      </w:r>
    </w:p>
    <w:p w:rsidR="003F17C8" w:rsidRDefault="003F17C8" w:rsidP="003F17C8">
      <w:pPr>
        <w:rPr>
          <w:b/>
        </w:rPr>
      </w:pPr>
      <w:r w:rsidRPr="00033EFC">
        <w:rPr>
          <w:b/>
        </w:rPr>
        <w:t>Proposal</w:t>
      </w:r>
      <w:r>
        <w:rPr>
          <w:b/>
        </w:rPr>
        <w:t xml:space="preserve"> </w:t>
      </w:r>
      <w:r w:rsidR="00F32F35">
        <w:rPr>
          <w:b/>
        </w:rPr>
        <w:t>1</w:t>
      </w:r>
      <w:r>
        <w:rPr>
          <w:b/>
        </w:rPr>
        <w:t>:</w:t>
      </w:r>
      <w:r w:rsidRPr="00033EFC">
        <w:rPr>
          <w:b/>
        </w:rPr>
        <w:t xml:space="preserve"> A </w:t>
      </w:r>
      <w:r w:rsidR="00860992">
        <w:rPr>
          <w:b/>
        </w:rPr>
        <w:t xml:space="preserve">UE implementation </w:t>
      </w:r>
      <w:r w:rsidR="00860992">
        <w:rPr>
          <w:b/>
        </w:rPr>
        <w:t xml:space="preserve">determines </w:t>
      </w:r>
      <w:r w:rsidR="00F13A61">
        <w:rPr>
          <w:b/>
        </w:rPr>
        <w:t xml:space="preserve">a </w:t>
      </w:r>
      <w:r w:rsidRPr="00033EFC">
        <w:rPr>
          <w:b/>
        </w:rPr>
        <w:t>UE On-Board stat</w:t>
      </w:r>
      <w:r w:rsidR="00F13A61">
        <w:rPr>
          <w:b/>
        </w:rPr>
        <w:t>us</w:t>
      </w:r>
      <w:r w:rsidRPr="00033EFC">
        <w:rPr>
          <w:b/>
        </w:rPr>
        <w:t xml:space="preserve"> </w:t>
      </w:r>
      <w:r>
        <w:rPr>
          <w:b/>
        </w:rPr>
        <w:t xml:space="preserve">in the UE </w:t>
      </w:r>
      <w:r w:rsidRPr="00033EFC">
        <w:rPr>
          <w:b/>
        </w:rPr>
        <w:t xml:space="preserve">higher layers. </w:t>
      </w:r>
    </w:p>
    <w:p w:rsidR="003F17C8" w:rsidRDefault="003F17C8" w:rsidP="003F17C8"/>
    <w:p w:rsidR="003F17C8" w:rsidRDefault="003F17C8" w:rsidP="003F17C8">
      <w:r>
        <w:t>The UE implementation can be enhanced through adoption of enhanced REL18 access stratum solutions, detectable by these REL18 UEs.</w:t>
      </w:r>
      <w:r>
        <w:t xml:space="preserve"> As indicated in [2] RAN2 assumes one such AS condition that can be broadcast by the cell of the mobile IAB-node is a </w:t>
      </w:r>
      <w:r w:rsidRPr="003F17C8">
        <w:t>1 bit mobile-IAB cell type indication</w:t>
      </w:r>
      <w:r>
        <w:t>.</w:t>
      </w:r>
    </w:p>
    <w:p w:rsidR="00843BD3" w:rsidRPr="003F17C8" w:rsidRDefault="003F17C8" w:rsidP="006D3BC1">
      <w:pPr>
        <w:rPr>
          <w:b/>
        </w:rPr>
      </w:pPr>
      <w:r w:rsidRPr="003F17C8">
        <w:rPr>
          <w:b/>
        </w:rPr>
        <w:t xml:space="preserve">Proposal </w:t>
      </w:r>
      <w:r w:rsidR="00F32F35">
        <w:rPr>
          <w:b/>
        </w:rPr>
        <w:t>2</w:t>
      </w:r>
      <w:r w:rsidRPr="003F17C8">
        <w:rPr>
          <w:b/>
        </w:rPr>
        <w:t>: RAN 2 confirms the agreement to broadcast a 1 bit mobile-IAB cell type indication for use by the REL18 UE Implementation in determining its on-board status to the cell of the mobile-IAB-node broadcasting the indication</w:t>
      </w:r>
      <w:r w:rsidR="005A37FE">
        <w:rPr>
          <w:b/>
        </w:rPr>
        <w:t>, which is located on the same vehicle as the UE</w:t>
      </w:r>
      <w:r w:rsidRPr="003F17C8">
        <w:rPr>
          <w:b/>
        </w:rPr>
        <w:t xml:space="preserve">. </w:t>
      </w:r>
    </w:p>
    <w:p w:rsidR="003F17C8" w:rsidRDefault="003F17C8" w:rsidP="006D3BC1"/>
    <w:p w:rsidR="00CD23B2" w:rsidRPr="00CD23B2" w:rsidRDefault="00CD23B2" w:rsidP="006D3BC1">
      <w:pPr>
        <w:rPr>
          <w:sz w:val="24"/>
        </w:rPr>
      </w:pPr>
      <w:r>
        <w:rPr>
          <w:sz w:val="24"/>
        </w:rPr>
        <w:t>2.2</w:t>
      </w:r>
      <w:r>
        <w:rPr>
          <w:sz w:val="24"/>
        </w:rPr>
        <w:tab/>
      </w:r>
      <w:r w:rsidRPr="00CD23B2">
        <w:rPr>
          <w:sz w:val="24"/>
        </w:rPr>
        <w:t>Additional A</w:t>
      </w:r>
      <w:r>
        <w:rPr>
          <w:sz w:val="24"/>
        </w:rPr>
        <w:t>S</w:t>
      </w:r>
      <w:r w:rsidRPr="00CD23B2">
        <w:rPr>
          <w:sz w:val="24"/>
        </w:rPr>
        <w:t xml:space="preserve"> considerations to determine On-board status</w:t>
      </w:r>
    </w:p>
    <w:p w:rsidR="00F13A61" w:rsidRDefault="00F13A61" w:rsidP="006D3BC1">
      <w:r>
        <w:t>During deliberations at RAN2#119bis, it was questions whether a long time period could be  applied to the connection of the UE to the mobile IAB cell, as a mechanism to detect the UE as on-board.</w:t>
      </w:r>
    </w:p>
    <w:p w:rsidR="00CD23B2" w:rsidRDefault="00CD23B2" w:rsidP="006D3BC1">
      <w:r>
        <w:t>Additionally it was also proposed that the mobile IAB cell may transmit a mobility status</w:t>
      </w:r>
      <w:r w:rsidR="00784A30">
        <w:t>,</w:t>
      </w:r>
      <w:r>
        <w:t xml:space="preserve"> similar </w:t>
      </w:r>
      <w:r w:rsidR="00784A30">
        <w:t xml:space="preserve">in format </w:t>
      </w:r>
      <w:r>
        <w:t>to the legacy UE mobility status, indicating normal, medium and high mobility to aid UE determination of on-board.</w:t>
      </w:r>
    </w:p>
    <w:p w:rsidR="00CD23B2" w:rsidRDefault="00CD23B2" w:rsidP="006D3BC1"/>
    <w:p w:rsidR="00CD23B2" w:rsidRDefault="00CD23B2" w:rsidP="00CD23B2">
      <w:pPr>
        <w:rPr>
          <w:lang w:eastAsia="en-GB"/>
        </w:rPr>
      </w:pPr>
      <w:r>
        <w:rPr>
          <w:lang w:eastAsia="en-GB"/>
        </w:rPr>
        <w:t xml:space="preserve">An on-board UE can be expected to have a relatively unchanged signal strength as measured to the mobile IAB cell, as well as a relatively similar mobility pattern if physically riding with the vehicle the mobile IAB is mounted on.  </w:t>
      </w:r>
      <w:r>
        <w:rPr>
          <w:lang w:eastAsia="en-GB"/>
        </w:rPr>
        <w:t>Hence a</w:t>
      </w:r>
      <w:r>
        <w:rPr>
          <w:lang w:eastAsia="en-GB"/>
        </w:rPr>
        <w:t xml:space="preserve"> UE comparison </w:t>
      </w:r>
      <w:r w:rsidR="00766F04">
        <w:rPr>
          <w:lang w:eastAsia="en-GB"/>
        </w:rPr>
        <w:t>of the UE</w:t>
      </w:r>
      <w:r>
        <w:rPr>
          <w:lang w:eastAsia="en-GB"/>
        </w:rPr>
        <w:t xml:space="preserve"> mobility status with the </w:t>
      </w:r>
      <w:r w:rsidR="00766F04">
        <w:rPr>
          <w:lang w:eastAsia="en-GB"/>
        </w:rPr>
        <w:t xml:space="preserve">mobility status </w:t>
      </w:r>
      <w:r w:rsidR="00766F04">
        <w:rPr>
          <w:lang w:eastAsia="en-GB"/>
        </w:rPr>
        <w:t xml:space="preserve">of the </w:t>
      </w:r>
      <w:r>
        <w:rPr>
          <w:lang w:eastAsia="en-GB"/>
        </w:rPr>
        <w:t xml:space="preserve">camped on/selected cell </w:t>
      </w:r>
      <w:r>
        <w:rPr>
          <w:lang w:eastAsia="en-GB"/>
        </w:rPr>
        <w:t>of the mobile IAB</w:t>
      </w:r>
      <w:r w:rsidR="00766F04">
        <w:rPr>
          <w:lang w:eastAsia="en-GB"/>
        </w:rPr>
        <w:t>-node</w:t>
      </w:r>
      <w:r>
        <w:rPr>
          <w:lang w:eastAsia="en-GB"/>
        </w:rPr>
        <w:t xml:space="preserve"> </w:t>
      </w:r>
      <w:r w:rsidR="00766F04">
        <w:rPr>
          <w:lang w:eastAsia="en-GB"/>
        </w:rPr>
        <w:t>could help</w:t>
      </w:r>
      <w:r w:rsidR="006A2862">
        <w:rPr>
          <w:lang w:eastAsia="en-GB"/>
        </w:rPr>
        <w:t xml:space="preserve"> determine similar </w:t>
      </w:r>
      <w:r w:rsidR="00766F04">
        <w:rPr>
          <w:lang w:eastAsia="en-GB"/>
        </w:rPr>
        <w:t>mobility and be an indication of the UE</w:t>
      </w:r>
      <w:r w:rsidR="006A2862">
        <w:rPr>
          <w:lang w:eastAsia="en-GB"/>
        </w:rPr>
        <w:t xml:space="preserve"> as being</w:t>
      </w:r>
      <w:r>
        <w:rPr>
          <w:lang w:eastAsia="en-GB"/>
        </w:rPr>
        <w:t xml:space="preserve"> on-board</w:t>
      </w:r>
      <w:r w:rsidR="00766F04">
        <w:rPr>
          <w:lang w:eastAsia="en-GB"/>
        </w:rPr>
        <w:t xml:space="preserve"> the same vehicle</w:t>
      </w:r>
      <w:r>
        <w:rPr>
          <w:lang w:eastAsia="en-GB"/>
        </w:rPr>
        <w:t xml:space="preserve">. </w:t>
      </w:r>
    </w:p>
    <w:p w:rsidR="00CD23B2" w:rsidRDefault="00CD23B2" w:rsidP="00CD23B2">
      <w:pPr>
        <w:rPr>
          <w:lang w:eastAsia="en-GB"/>
        </w:rPr>
      </w:pPr>
      <w:r>
        <w:rPr>
          <w:lang w:eastAsia="en-GB"/>
        </w:rPr>
        <w:t>It is noted however that the mobility status</w:t>
      </w:r>
      <w:r w:rsidR="00766F04">
        <w:rPr>
          <w:lang w:eastAsia="en-GB"/>
        </w:rPr>
        <w:t xml:space="preserve"> indication</w:t>
      </w:r>
      <w:r>
        <w:rPr>
          <w:lang w:eastAsia="en-GB"/>
        </w:rPr>
        <w:t xml:space="preserve"> is a fairly course determination of </w:t>
      </w:r>
      <w:r w:rsidR="006A2862">
        <w:rPr>
          <w:lang w:eastAsia="en-GB"/>
        </w:rPr>
        <w:t xml:space="preserve">mobility </w:t>
      </w:r>
      <w:r>
        <w:rPr>
          <w:lang w:eastAsia="en-GB"/>
        </w:rPr>
        <w:t xml:space="preserve">and in heavy urban traffic for example with multiple mobile IABs in proximity </w:t>
      </w:r>
      <w:r w:rsidR="006A2862">
        <w:rPr>
          <w:lang w:eastAsia="en-GB"/>
        </w:rPr>
        <w:t xml:space="preserve">(e.g. see scenario 4 [3]) </w:t>
      </w:r>
      <w:r>
        <w:rPr>
          <w:lang w:eastAsia="en-GB"/>
        </w:rPr>
        <w:t xml:space="preserve">this </w:t>
      </w:r>
      <w:r w:rsidR="006A2862">
        <w:rPr>
          <w:lang w:eastAsia="en-GB"/>
        </w:rPr>
        <w:t xml:space="preserve">status indication </w:t>
      </w:r>
      <w:r>
        <w:rPr>
          <w:lang w:eastAsia="en-GB"/>
        </w:rPr>
        <w:t xml:space="preserve">may have limited ability to </w:t>
      </w:r>
      <w:r w:rsidR="006A2862">
        <w:rPr>
          <w:lang w:eastAsia="en-GB"/>
        </w:rPr>
        <w:t xml:space="preserve">efficiently and </w:t>
      </w:r>
      <w:r>
        <w:rPr>
          <w:lang w:eastAsia="en-GB"/>
        </w:rPr>
        <w:t xml:space="preserve">reliably support determination </w:t>
      </w:r>
      <w:r w:rsidR="006A2862">
        <w:rPr>
          <w:lang w:eastAsia="en-GB"/>
        </w:rPr>
        <w:t xml:space="preserve">of </w:t>
      </w:r>
      <w:r>
        <w:rPr>
          <w:lang w:eastAsia="en-GB"/>
        </w:rPr>
        <w:t xml:space="preserve">on-board </w:t>
      </w:r>
      <w:r w:rsidR="006A2862">
        <w:rPr>
          <w:lang w:eastAsia="en-GB"/>
        </w:rPr>
        <w:t xml:space="preserve">status for the </w:t>
      </w:r>
      <w:r>
        <w:rPr>
          <w:lang w:eastAsia="en-GB"/>
        </w:rPr>
        <w:t xml:space="preserve">cell of the mobile IAB associated with the vehicle the UE is in. </w:t>
      </w:r>
    </w:p>
    <w:p w:rsidR="00CD23B2" w:rsidRDefault="00CD23B2" w:rsidP="006A2862">
      <w:pPr>
        <w:spacing w:before="240"/>
        <w:rPr>
          <w:lang w:eastAsia="en-GB"/>
        </w:rPr>
      </w:pPr>
      <w:r>
        <w:rPr>
          <w:lang w:eastAsia="en-GB"/>
        </w:rPr>
        <w:t xml:space="preserve">Indeed more accurate positioning </w:t>
      </w:r>
      <w:r w:rsidR="006A2862">
        <w:rPr>
          <w:lang w:eastAsia="en-GB"/>
        </w:rPr>
        <w:t xml:space="preserve">or location indication </w:t>
      </w:r>
      <w:r w:rsidR="006A2862">
        <w:rPr>
          <w:lang w:eastAsia="en-GB"/>
        </w:rPr>
        <w:t xml:space="preserve">(e.g. </w:t>
      </w:r>
      <w:r w:rsidR="006A2862">
        <w:rPr>
          <w:lang w:eastAsia="en-GB"/>
        </w:rPr>
        <w:t>t</w:t>
      </w:r>
      <w:r w:rsidR="006A2862">
        <w:rPr>
          <w:lang w:eastAsia="en-GB"/>
        </w:rPr>
        <w:t>hrough t</w:t>
      </w:r>
      <w:r w:rsidR="006A2862">
        <w:rPr>
          <w:lang w:eastAsia="en-GB"/>
        </w:rPr>
        <w:t>hird party apps or standalone GPS or other sensors</w:t>
      </w:r>
      <w:r w:rsidR="006A2862">
        <w:rPr>
          <w:lang w:eastAsia="en-GB"/>
        </w:rPr>
        <w:t xml:space="preserve">) </w:t>
      </w:r>
      <w:r>
        <w:rPr>
          <w:lang w:eastAsia="en-GB"/>
        </w:rPr>
        <w:t xml:space="preserve">used in association with regular signal strength variation </w:t>
      </w:r>
      <w:r w:rsidR="006A2862">
        <w:rPr>
          <w:lang w:eastAsia="en-GB"/>
        </w:rPr>
        <w:t xml:space="preserve">to the selected cell </w:t>
      </w:r>
      <w:r>
        <w:rPr>
          <w:lang w:eastAsia="en-GB"/>
        </w:rPr>
        <w:t xml:space="preserve">may be a more accurate and quicker assessment of the UE/vehicle deviation from the </w:t>
      </w:r>
      <w:r w:rsidR="00766F04">
        <w:rPr>
          <w:lang w:eastAsia="en-GB"/>
        </w:rPr>
        <w:t xml:space="preserve">connection </w:t>
      </w:r>
      <w:r w:rsidR="00766F04">
        <w:rPr>
          <w:lang w:eastAsia="en-GB"/>
        </w:rPr>
        <w:t xml:space="preserve">to the </w:t>
      </w:r>
      <w:r>
        <w:rPr>
          <w:lang w:eastAsia="en-GB"/>
        </w:rPr>
        <w:t>m</w:t>
      </w:r>
      <w:r w:rsidR="00766F04">
        <w:rPr>
          <w:lang w:eastAsia="en-GB"/>
        </w:rPr>
        <w:t>obile-</w:t>
      </w:r>
      <w:r>
        <w:rPr>
          <w:lang w:eastAsia="en-GB"/>
        </w:rPr>
        <w:t xml:space="preserve">IAB cell and hence a better indication that the UE is </w:t>
      </w:r>
      <w:r w:rsidR="006A2862">
        <w:rPr>
          <w:lang w:eastAsia="en-GB"/>
        </w:rPr>
        <w:t>on-board the intended mobile IAB or not</w:t>
      </w:r>
      <w:r>
        <w:rPr>
          <w:lang w:eastAsia="en-GB"/>
        </w:rPr>
        <w:t>.</w:t>
      </w:r>
    </w:p>
    <w:p w:rsidR="00F32F35" w:rsidRDefault="00F32F35" w:rsidP="006A2862">
      <w:pPr>
        <w:spacing w:before="240"/>
        <w:rPr>
          <w:lang w:eastAsia="en-GB"/>
        </w:rPr>
      </w:pPr>
      <w:r>
        <w:rPr>
          <w:lang w:eastAsia="en-GB"/>
        </w:rPr>
        <w:t xml:space="preserve">Also we consider that a UE on-boards a mobile IAB node cell when it is stationary or at least very low mobility. After this point the UE remains relatively stationary relative to the cell of the mobile IAB node. If it is already determined that the UE is on-board a </w:t>
      </w:r>
      <w:proofErr w:type="spellStart"/>
      <w:r>
        <w:rPr>
          <w:lang w:eastAsia="en-GB"/>
        </w:rPr>
        <w:t>mIAB</w:t>
      </w:r>
      <w:proofErr w:type="spellEnd"/>
      <w:r>
        <w:rPr>
          <w:lang w:eastAsia="en-GB"/>
        </w:rPr>
        <w:t xml:space="preserve"> node then the motivation for another delayed indication seem unclear.</w:t>
      </w:r>
    </w:p>
    <w:p w:rsidR="00CD23B2" w:rsidRDefault="00CD23B2" w:rsidP="00CD23B2">
      <w:pPr>
        <w:rPr>
          <w:lang w:eastAsia="en-GB"/>
        </w:rPr>
      </w:pPr>
      <w:r>
        <w:rPr>
          <w:lang w:eastAsia="en-GB"/>
        </w:rPr>
        <w:lastRenderedPageBreak/>
        <w:t xml:space="preserve">With this in mind, we see that the UE implementation along with simple access stratum assistance information such as </w:t>
      </w:r>
      <w:r w:rsidRPr="00541F05">
        <w:rPr>
          <w:lang w:eastAsia="en-GB"/>
        </w:rPr>
        <w:t>mobile-IAB cell type indication</w:t>
      </w:r>
      <w:r w:rsidR="006A2862">
        <w:rPr>
          <w:lang w:eastAsia="en-GB"/>
        </w:rPr>
        <w:t>, whilst</w:t>
      </w:r>
      <w:r>
        <w:rPr>
          <w:lang w:eastAsia="en-GB"/>
        </w:rPr>
        <w:t xml:space="preserve"> utilis</w:t>
      </w:r>
      <w:r w:rsidR="006A2862">
        <w:rPr>
          <w:lang w:eastAsia="en-GB"/>
        </w:rPr>
        <w:t>ing</w:t>
      </w:r>
      <w:r>
        <w:rPr>
          <w:lang w:eastAsia="en-GB"/>
        </w:rPr>
        <w:t xml:space="preserve"> other apps, sensors or peripherals </w:t>
      </w:r>
      <w:r w:rsidR="00766F04">
        <w:rPr>
          <w:lang w:eastAsia="en-GB"/>
        </w:rPr>
        <w:t xml:space="preserve">as a part of the UE implementation </w:t>
      </w:r>
      <w:r w:rsidR="006A2862">
        <w:rPr>
          <w:lang w:eastAsia="en-GB"/>
        </w:rPr>
        <w:t>is sufficient to determine the UE on-board status</w:t>
      </w:r>
      <w:r>
        <w:rPr>
          <w:lang w:eastAsia="en-GB"/>
        </w:rPr>
        <w:t xml:space="preserve">. The mobile IAB cell broadcasting a mobile IAB mobility similar to the legacy UE mobility with a granularity of normal, medium or high is not of sufficient granularity or accuracy to provide meaningful assistance. </w:t>
      </w:r>
    </w:p>
    <w:p w:rsidR="006A2862" w:rsidRPr="006A2862" w:rsidRDefault="006A2862" w:rsidP="00CD23B2">
      <w:pPr>
        <w:rPr>
          <w:b/>
          <w:lang w:eastAsia="en-GB"/>
        </w:rPr>
      </w:pPr>
      <w:r w:rsidRPr="006A2862">
        <w:rPr>
          <w:b/>
          <w:lang w:eastAsia="en-GB"/>
        </w:rPr>
        <w:t xml:space="preserve">Proposal </w:t>
      </w:r>
      <w:r w:rsidR="00F32F35">
        <w:rPr>
          <w:b/>
          <w:lang w:eastAsia="en-GB"/>
        </w:rPr>
        <w:t>3</w:t>
      </w:r>
      <w:r w:rsidRPr="006A2862">
        <w:rPr>
          <w:b/>
          <w:lang w:eastAsia="en-GB"/>
        </w:rPr>
        <w:t>: Not consider the broadcasting of the mobility status of the mobile IAB cell, as an AS assistance for UE determination of on-board status.</w:t>
      </w:r>
    </w:p>
    <w:p w:rsidR="00CD23B2" w:rsidRDefault="00CD23B2" w:rsidP="006D3BC1"/>
    <w:p w:rsidR="00F13A61" w:rsidRDefault="006A2862" w:rsidP="006D3BC1">
      <w:r>
        <w:t xml:space="preserve">In addition relying for a long period of time following the camping or selection of the mobile IAB cell </w:t>
      </w:r>
      <w:r w:rsidR="00356CFB">
        <w:t xml:space="preserve">in order to determine on-board status appears </w:t>
      </w:r>
      <w:r w:rsidR="00766F04">
        <w:t>to create further uncertainty</w:t>
      </w:r>
      <w:r w:rsidR="00356CFB">
        <w:t xml:space="preserve">. Initially as indicated in scenarios 3 &amp; 4 of [3] it is clear that a UE may be connected for a period to a wrong mobile IAB node, which </w:t>
      </w:r>
      <w:r w:rsidR="00766F04">
        <w:t xml:space="preserve">could be for quite </w:t>
      </w:r>
      <w:r w:rsidR="00356CFB">
        <w:t>some period of time. The actual period is ambiguous and not predictable. In addition it is observed that the proposed long period is also ambiguous, indeed may be variable depending on the actual speed of the mobile IAB</w:t>
      </w:r>
      <w:r w:rsidR="00766F04">
        <w:t>, as it would rely on ensuring the UE is not aboard a proximally located vehicle</w:t>
      </w:r>
      <w:r w:rsidR="00356CFB">
        <w:t xml:space="preserve">. Also it is not clear whether the long time period is configurable or predetermined. </w:t>
      </w:r>
    </w:p>
    <w:p w:rsidR="00356CFB" w:rsidRDefault="00356CFB" w:rsidP="006D3BC1">
      <w:r>
        <w:t>Considering these ambiguities, we see no need to spend time trying to specify a long time period for which a UE would use to determine on-board status and believe it remains sufficient to leave it to UE implementation, following a determination that the cell at least belongs to a mobile IAB node.</w:t>
      </w:r>
    </w:p>
    <w:p w:rsidR="00356CFB" w:rsidRPr="006A2862" w:rsidRDefault="00356CFB" w:rsidP="00356CFB">
      <w:pPr>
        <w:rPr>
          <w:b/>
          <w:lang w:eastAsia="en-GB"/>
        </w:rPr>
      </w:pPr>
      <w:r w:rsidRPr="006A2862">
        <w:rPr>
          <w:b/>
          <w:lang w:eastAsia="en-GB"/>
        </w:rPr>
        <w:t xml:space="preserve">Proposal </w:t>
      </w:r>
      <w:r w:rsidR="00F32F35">
        <w:rPr>
          <w:b/>
          <w:lang w:eastAsia="en-GB"/>
        </w:rPr>
        <w:t>4</w:t>
      </w:r>
      <w:r w:rsidRPr="006A2862">
        <w:rPr>
          <w:b/>
          <w:lang w:eastAsia="en-GB"/>
        </w:rPr>
        <w:t xml:space="preserve">: </w:t>
      </w:r>
      <w:r>
        <w:rPr>
          <w:b/>
          <w:lang w:eastAsia="en-GB"/>
        </w:rPr>
        <w:t>RAN2 n</w:t>
      </w:r>
      <w:r w:rsidRPr="006A2862">
        <w:rPr>
          <w:b/>
          <w:lang w:eastAsia="en-GB"/>
        </w:rPr>
        <w:t>ot</w:t>
      </w:r>
      <w:r w:rsidRPr="006A2862">
        <w:rPr>
          <w:b/>
          <w:lang w:eastAsia="en-GB"/>
        </w:rPr>
        <w:t xml:space="preserve"> </w:t>
      </w:r>
      <w:r>
        <w:rPr>
          <w:b/>
          <w:lang w:eastAsia="en-GB"/>
        </w:rPr>
        <w:t>specify a long time period to be used by a UE to measure how long a UE is connected to a cell of a mobile IAB node, in order to establish an on-board status.</w:t>
      </w:r>
    </w:p>
    <w:p w:rsidR="00356CFB" w:rsidRDefault="00356CFB" w:rsidP="006D3BC1"/>
    <w:p w:rsidR="00356CFB" w:rsidRPr="00356CFB" w:rsidRDefault="00356CFB" w:rsidP="006D3BC1">
      <w:pPr>
        <w:rPr>
          <w:sz w:val="24"/>
        </w:rPr>
      </w:pPr>
      <w:r>
        <w:rPr>
          <w:sz w:val="24"/>
        </w:rPr>
        <w:t>2.3</w:t>
      </w:r>
      <w:r>
        <w:rPr>
          <w:sz w:val="24"/>
        </w:rPr>
        <w:tab/>
      </w:r>
      <w:r w:rsidRPr="00356CFB">
        <w:rPr>
          <w:sz w:val="24"/>
        </w:rPr>
        <w:t>Determination of Leave status</w:t>
      </w:r>
    </w:p>
    <w:p w:rsidR="00F13A61" w:rsidRDefault="00356CFB" w:rsidP="006D3BC1">
      <w:r>
        <w:t xml:space="preserve">In addition to determining on-board status, </w:t>
      </w:r>
      <w:r w:rsidR="00F32F35">
        <w:t>the decision to end on-board status or trigger reselection to a legacy or possibly another alternative mobile IAB node cell shall be left to UE implementation.</w:t>
      </w:r>
    </w:p>
    <w:p w:rsidR="00F32F35" w:rsidRPr="00F32F35" w:rsidRDefault="00F32F35" w:rsidP="006D3BC1">
      <w:pPr>
        <w:rPr>
          <w:b/>
        </w:rPr>
      </w:pPr>
      <w:r w:rsidRPr="00F32F35">
        <w:rPr>
          <w:b/>
        </w:rPr>
        <w:t xml:space="preserve">Proposal </w:t>
      </w:r>
      <w:r>
        <w:rPr>
          <w:b/>
        </w:rPr>
        <w:t>5</w:t>
      </w:r>
      <w:r w:rsidRPr="00F32F35">
        <w:rPr>
          <w:b/>
        </w:rPr>
        <w:t>: the decision to trigger reselection away from the on-board mobile IAB node cell, is determine by UE implementation, and signalled to the AS from UE higher layers.</w:t>
      </w:r>
    </w:p>
    <w:p w:rsidR="00356CFB" w:rsidRDefault="00356CFB" w:rsidP="006D3BC1"/>
    <w:p w:rsidR="00181F8F" w:rsidRDefault="00181F8F" w:rsidP="00181F8F">
      <w:pPr>
        <w:pStyle w:val="Heading1"/>
      </w:pPr>
      <w:r>
        <w:t>Conclusion</w:t>
      </w:r>
    </w:p>
    <w:p w:rsidR="00181F8F" w:rsidRDefault="00181F8F" w:rsidP="005C58D0">
      <w:r>
        <w:t xml:space="preserve">We propose that RAN2 adopt the following in order to specify the selection and reselection behaviour for UEs operating with </w:t>
      </w:r>
      <w:proofErr w:type="spellStart"/>
      <w:r>
        <w:t>mIAB</w:t>
      </w:r>
      <w:proofErr w:type="spellEnd"/>
      <w:r>
        <w:t xml:space="preserve"> nodes.</w:t>
      </w:r>
    </w:p>
    <w:p w:rsidR="00181F8F" w:rsidRDefault="00181F8F" w:rsidP="005C58D0"/>
    <w:p w:rsidR="00F32F35" w:rsidRDefault="00F32F35" w:rsidP="00F32F35">
      <w:pPr>
        <w:rPr>
          <w:b/>
        </w:rPr>
      </w:pPr>
      <w:r w:rsidRPr="00033EFC">
        <w:rPr>
          <w:b/>
        </w:rPr>
        <w:t>Proposal</w:t>
      </w:r>
      <w:r>
        <w:rPr>
          <w:b/>
        </w:rPr>
        <w:t xml:space="preserve"> 1:</w:t>
      </w:r>
      <w:r w:rsidRPr="00033EFC">
        <w:rPr>
          <w:b/>
        </w:rPr>
        <w:t xml:space="preserve"> A </w:t>
      </w:r>
      <w:r>
        <w:rPr>
          <w:b/>
        </w:rPr>
        <w:t xml:space="preserve">UE implementation determines a </w:t>
      </w:r>
      <w:r w:rsidRPr="00033EFC">
        <w:rPr>
          <w:b/>
        </w:rPr>
        <w:t>UE On-Board stat</w:t>
      </w:r>
      <w:r>
        <w:rPr>
          <w:b/>
        </w:rPr>
        <w:t>us</w:t>
      </w:r>
      <w:r w:rsidRPr="00033EFC">
        <w:rPr>
          <w:b/>
        </w:rPr>
        <w:t xml:space="preserve"> </w:t>
      </w:r>
      <w:r>
        <w:rPr>
          <w:b/>
        </w:rPr>
        <w:t xml:space="preserve">in the UE </w:t>
      </w:r>
      <w:r w:rsidRPr="00033EFC">
        <w:rPr>
          <w:b/>
        </w:rPr>
        <w:t xml:space="preserve">higher layers. </w:t>
      </w:r>
    </w:p>
    <w:p w:rsidR="00766F04" w:rsidRPr="003F17C8" w:rsidRDefault="00766F04" w:rsidP="00766F04">
      <w:pPr>
        <w:rPr>
          <w:b/>
        </w:rPr>
      </w:pPr>
      <w:r w:rsidRPr="003F17C8">
        <w:rPr>
          <w:b/>
        </w:rPr>
        <w:t xml:space="preserve">Proposal </w:t>
      </w:r>
      <w:r>
        <w:rPr>
          <w:b/>
        </w:rPr>
        <w:t>2</w:t>
      </w:r>
      <w:r w:rsidRPr="003F17C8">
        <w:rPr>
          <w:b/>
        </w:rPr>
        <w:t>: RAN 2 confirms the agreement to broadcast a 1 bit mobile-IAB cell type indication for use by the REL18 UE Implementation in determining its on-board status to the cell of the mobile-IAB-node broadcasting the indication</w:t>
      </w:r>
      <w:r>
        <w:rPr>
          <w:b/>
        </w:rPr>
        <w:t>, which is located on the same vehicle as the UE</w:t>
      </w:r>
      <w:r w:rsidRPr="003F17C8">
        <w:rPr>
          <w:b/>
        </w:rPr>
        <w:t xml:space="preserve">. </w:t>
      </w:r>
    </w:p>
    <w:p w:rsidR="00F32F35" w:rsidRPr="006A2862" w:rsidRDefault="00F32F35" w:rsidP="00F32F35">
      <w:pPr>
        <w:rPr>
          <w:b/>
          <w:lang w:eastAsia="en-GB"/>
        </w:rPr>
      </w:pPr>
      <w:bookmarkStart w:id="0" w:name="_GoBack"/>
      <w:bookmarkEnd w:id="0"/>
      <w:r w:rsidRPr="006A2862">
        <w:rPr>
          <w:b/>
          <w:lang w:eastAsia="en-GB"/>
        </w:rPr>
        <w:lastRenderedPageBreak/>
        <w:t xml:space="preserve">Proposal </w:t>
      </w:r>
      <w:r>
        <w:rPr>
          <w:b/>
          <w:lang w:eastAsia="en-GB"/>
        </w:rPr>
        <w:t>3</w:t>
      </w:r>
      <w:r w:rsidRPr="006A2862">
        <w:rPr>
          <w:b/>
          <w:lang w:eastAsia="en-GB"/>
        </w:rPr>
        <w:t>: Not consider the broadcasting of the mobility status of the mobile IAB cell, as an AS assistance for UE determination of on-board status.</w:t>
      </w:r>
    </w:p>
    <w:p w:rsidR="00F32F35" w:rsidRPr="006A2862" w:rsidRDefault="00F32F35" w:rsidP="00F32F35">
      <w:pPr>
        <w:rPr>
          <w:b/>
          <w:lang w:eastAsia="en-GB"/>
        </w:rPr>
      </w:pPr>
      <w:r w:rsidRPr="006A2862">
        <w:rPr>
          <w:b/>
          <w:lang w:eastAsia="en-GB"/>
        </w:rPr>
        <w:t xml:space="preserve">Proposal </w:t>
      </w:r>
      <w:r>
        <w:rPr>
          <w:b/>
          <w:lang w:eastAsia="en-GB"/>
        </w:rPr>
        <w:t>4</w:t>
      </w:r>
      <w:r w:rsidRPr="006A2862">
        <w:rPr>
          <w:b/>
          <w:lang w:eastAsia="en-GB"/>
        </w:rPr>
        <w:t xml:space="preserve">: </w:t>
      </w:r>
      <w:r>
        <w:rPr>
          <w:b/>
          <w:lang w:eastAsia="en-GB"/>
        </w:rPr>
        <w:t>RAN2 n</w:t>
      </w:r>
      <w:r w:rsidRPr="006A2862">
        <w:rPr>
          <w:b/>
          <w:lang w:eastAsia="en-GB"/>
        </w:rPr>
        <w:t xml:space="preserve">ot </w:t>
      </w:r>
      <w:r>
        <w:rPr>
          <w:b/>
          <w:lang w:eastAsia="en-GB"/>
        </w:rPr>
        <w:t>specify a long time period to be used by a UE to measure how long a UE is connected to a cell of a mobile IAB node, in order to establish an on-board status.</w:t>
      </w:r>
    </w:p>
    <w:p w:rsidR="00F32F35" w:rsidRPr="00F32F35" w:rsidRDefault="00F32F35" w:rsidP="00F32F35">
      <w:pPr>
        <w:rPr>
          <w:b/>
        </w:rPr>
      </w:pPr>
      <w:r w:rsidRPr="00F32F35">
        <w:rPr>
          <w:b/>
        </w:rPr>
        <w:t xml:space="preserve">Proposal </w:t>
      </w:r>
      <w:r>
        <w:rPr>
          <w:b/>
        </w:rPr>
        <w:t>5</w:t>
      </w:r>
      <w:r w:rsidRPr="00F32F35">
        <w:rPr>
          <w:b/>
        </w:rPr>
        <w:t>: the decision to trigger reselection away from the on-board mobile IAB node cell, is determine by UE implementation, and signalled to the AS from UE higher layers.</w:t>
      </w:r>
    </w:p>
    <w:p w:rsidR="006D3BC1" w:rsidRDefault="006D3BC1" w:rsidP="006D3BC1"/>
    <w:p w:rsidR="006D3BC1" w:rsidRDefault="006D3BC1" w:rsidP="00181F8F">
      <w:pPr>
        <w:pStyle w:val="Heading1"/>
      </w:pPr>
      <w:r>
        <w:t>Reference</w:t>
      </w:r>
      <w:r w:rsidR="00181F8F">
        <w:t>s</w:t>
      </w:r>
    </w:p>
    <w:p w:rsidR="00696B2E" w:rsidRDefault="004F612F" w:rsidP="006F3B69">
      <w:pPr>
        <w:ind w:left="567" w:hanging="567"/>
      </w:pPr>
      <w:r>
        <w:t>[1]</w:t>
      </w:r>
      <w:r>
        <w:tab/>
      </w:r>
      <w:r w:rsidR="00B50F4E" w:rsidRPr="00B50F4E">
        <w:t>RP-222671</w:t>
      </w:r>
      <w:r w:rsidR="00B50F4E" w:rsidRPr="00B50F4E">
        <w:tab/>
        <w:t>Revised WID: Mobile IAB (Integrated Access and Backhaul) for NR</w:t>
      </w:r>
    </w:p>
    <w:p w:rsidR="006F3B69" w:rsidRDefault="00696B2E" w:rsidP="006F3B69">
      <w:pPr>
        <w:ind w:left="567" w:hanging="567"/>
      </w:pPr>
      <w:r>
        <w:t>[2]</w:t>
      </w:r>
      <w:r>
        <w:tab/>
      </w:r>
      <w:r w:rsidR="00BE5E0C" w:rsidRPr="00BE5E0C">
        <w:t>R2 119bis-e Chair Notes EOM rev1</w:t>
      </w:r>
      <w:r w:rsidR="00205A62">
        <w:tab/>
        <w:t xml:space="preserve">RAN2 chair,  </w:t>
      </w:r>
      <w:r w:rsidR="00205A62" w:rsidRPr="00205A62">
        <w:t xml:space="preserve">www.3gpp.org / ftp / </w:t>
      </w:r>
      <w:proofErr w:type="spellStart"/>
      <w:r w:rsidR="00205A62" w:rsidRPr="00205A62">
        <w:t>tsg_ran</w:t>
      </w:r>
      <w:proofErr w:type="spellEnd"/>
      <w:r w:rsidR="00205A62" w:rsidRPr="00205A62">
        <w:t xml:space="preserve"> / WG2_RL2 / TSGR2_119bis-e / Inbox / </w:t>
      </w:r>
      <w:proofErr w:type="spellStart"/>
      <w:r w:rsidR="00205A62" w:rsidRPr="00205A62">
        <w:t>Chairs_Notes</w:t>
      </w:r>
      <w:proofErr w:type="spellEnd"/>
    </w:p>
    <w:p w:rsidR="006D3BC1" w:rsidRDefault="006F3B69" w:rsidP="006F3B69">
      <w:pPr>
        <w:ind w:left="567" w:hanging="567"/>
      </w:pPr>
      <w:r>
        <w:t>[3]</w:t>
      </w:r>
      <w:r>
        <w:tab/>
      </w:r>
      <w:r w:rsidR="00D73CF0">
        <w:t>R2-2210447</w:t>
      </w:r>
      <w:r w:rsidR="00D73CF0">
        <w:tab/>
      </w:r>
      <w:r w:rsidR="00D73CF0" w:rsidRPr="003957A3">
        <w:t xml:space="preserve">Scenarios for consideration in </w:t>
      </w:r>
      <w:proofErr w:type="spellStart"/>
      <w:r w:rsidR="00D73CF0" w:rsidRPr="003957A3">
        <w:t>mIAB</w:t>
      </w:r>
      <w:proofErr w:type="spellEnd"/>
      <w:r w:rsidR="00D73CF0" w:rsidRPr="003957A3">
        <w:t xml:space="preserve"> cell selection and reselection</w:t>
      </w:r>
      <w:r w:rsidR="00D73CF0">
        <w:t>, Xiaomi</w:t>
      </w:r>
      <w:r w:rsidR="00D73CF0" w:rsidRPr="006D3BC1">
        <w:t xml:space="preserve"> </w:t>
      </w:r>
    </w:p>
    <w:p w:rsidR="004F612F" w:rsidRDefault="004F612F" w:rsidP="006F3B69">
      <w:pPr>
        <w:ind w:left="567" w:hanging="567"/>
      </w:pPr>
      <w:r>
        <w:t>[</w:t>
      </w:r>
      <w:r w:rsidR="006F3B69">
        <w:t>4</w:t>
      </w:r>
      <w:r>
        <w:t>]</w:t>
      </w:r>
      <w:r>
        <w:tab/>
      </w:r>
      <w:r w:rsidR="00D73CF0">
        <w:t xml:space="preserve">TR22.839 </w:t>
      </w:r>
      <w:r w:rsidR="00D73CF0">
        <w:tab/>
        <w:t>Study on Vehicle-Mounted Relays, Stage 1</w:t>
      </w:r>
    </w:p>
    <w:p w:rsidR="00696B2E" w:rsidRDefault="00696B2E" w:rsidP="006F3B69">
      <w:pPr>
        <w:ind w:left="567" w:hanging="567"/>
      </w:pPr>
      <w:r>
        <w:t>[</w:t>
      </w:r>
      <w:r w:rsidR="006F3B69">
        <w:t>5</w:t>
      </w:r>
      <w:r>
        <w:t>]</w:t>
      </w:r>
      <w:r>
        <w:tab/>
      </w:r>
      <w:r w:rsidR="00D73CF0">
        <w:t>TR23.700-05</w:t>
      </w:r>
      <w:r w:rsidR="00D73CF0" w:rsidRPr="00181F8F">
        <w:t>-</w:t>
      </w:r>
      <w:r w:rsidR="00D73CF0" w:rsidRPr="00D73CF0">
        <w:t xml:space="preserve"> V1.1.0 (2022-10)</w:t>
      </w:r>
      <w:r w:rsidR="00D73CF0">
        <w:tab/>
        <w:t>Study on architecture enhancements for vehicle-mounted relays</w:t>
      </w:r>
    </w:p>
    <w:p w:rsidR="003957A3" w:rsidRDefault="003957A3" w:rsidP="006F3B69">
      <w:pPr>
        <w:ind w:left="567" w:hanging="567"/>
      </w:pPr>
      <w:r>
        <w:tab/>
      </w:r>
    </w:p>
    <w:p w:rsidR="004F612F" w:rsidRDefault="004F612F" w:rsidP="006D3BC1"/>
    <w:sectPr w:rsidR="004F61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23976"/>
    <w:multiLevelType w:val="hybridMultilevel"/>
    <w:tmpl w:val="4D3A195E"/>
    <w:lvl w:ilvl="0" w:tplc="85B6116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522"/>
        </w:tabs>
        <w:ind w:left="522" w:hanging="432"/>
      </w:pPr>
    </w:lvl>
    <w:lvl w:ilvl="1">
      <w:start w:val="1"/>
      <w:numFmt w:val="decimal"/>
      <w:pStyle w:val="Heading2"/>
      <w:lvlText w:val="%1.%2"/>
      <w:lvlJc w:val="left"/>
      <w:pPr>
        <w:tabs>
          <w:tab w:val="left" w:pos="936"/>
        </w:tabs>
        <w:ind w:left="93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5741D12"/>
    <w:multiLevelType w:val="hybridMultilevel"/>
    <w:tmpl w:val="739CBD90"/>
    <w:lvl w:ilvl="0" w:tplc="85B6116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94"/>
    <w:rsid w:val="00010E22"/>
    <w:rsid w:val="00033EFC"/>
    <w:rsid w:val="000B6F16"/>
    <w:rsid w:val="00181459"/>
    <w:rsid w:val="00181F8F"/>
    <w:rsid w:val="00190CC0"/>
    <w:rsid w:val="00195DB4"/>
    <w:rsid w:val="00205A62"/>
    <w:rsid w:val="0021335C"/>
    <w:rsid w:val="00217E57"/>
    <w:rsid w:val="002810B6"/>
    <w:rsid w:val="002B7EF5"/>
    <w:rsid w:val="00356CFB"/>
    <w:rsid w:val="00366038"/>
    <w:rsid w:val="00372B27"/>
    <w:rsid w:val="003957A3"/>
    <w:rsid w:val="003B3145"/>
    <w:rsid w:val="003F17C8"/>
    <w:rsid w:val="00476FA1"/>
    <w:rsid w:val="004B4F8D"/>
    <w:rsid w:val="004E5898"/>
    <w:rsid w:val="004F612F"/>
    <w:rsid w:val="00514832"/>
    <w:rsid w:val="00524546"/>
    <w:rsid w:val="00586111"/>
    <w:rsid w:val="005A3196"/>
    <w:rsid w:val="005A37FE"/>
    <w:rsid w:val="005C58D0"/>
    <w:rsid w:val="00696B2E"/>
    <w:rsid w:val="006A2862"/>
    <w:rsid w:val="006D3BC1"/>
    <w:rsid w:val="006F3B69"/>
    <w:rsid w:val="00741C94"/>
    <w:rsid w:val="00766F04"/>
    <w:rsid w:val="00784A30"/>
    <w:rsid w:val="007D45FD"/>
    <w:rsid w:val="0082341D"/>
    <w:rsid w:val="00843BD3"/>
    <w:rsid w:val="00860992"/>
    <w:rsid w:val="00872F8D"/>
    <w:rsid w:val="00877998"/>
    <w:rsid w:val="008C5698"/>
    <w:rsid w:val="008D2B46"/>
    <w:rsid w:val="008E5791"/>
    <w:rsid w:val="009673FF"/>
    <w:rsid w:val="009E7268"/>
    <w:rsid w:val="00A423A2"/>
    <w:rsid w:val="00A81B60"/>
    <w:rsid w:val="00A9771B"/>
    <w:rsid w:val="00AB0491"/>
    <w:rsid w:val="00AB3D1C"/>
    <w:rsid w:val="00B04427"/>
    <w:rsid w:val="00B50F4E"/>
    <w:rsid w:val="00B83D81"/>
    <w:rsid w:val="00BE5E0C"/>
    <w:rsid w:val="00C028E9"/>
    <w:rsid w:val="00C2568E"/>
    <w:rsid w:val="00C45341"/>
    <w:rsid w:val="00CD23B2"/>
    <w:rsid w:val="00D73CF0"/>
    <w:rsid w:val="00DB3143"/>
    <w:rsid w:val="00DC4E8C"/>
    <w:rsid w:val="00DD0852"/>
    <w:rsid w:val="00EC2743"/>
    <w:rsid w:val="00F13A61"/>
    <w:rsid w:val="00F22209"/>
    <w:rsid w:val="00F32F35"/>
    <w:rsid w:val="00F701F8"/>
    <w:rsid w:val="00F74FAD"/>
    <w:rsid w:val="00F76701"/>
    <w:rsid w:val="00FA1A49"/>
    <w:rsid w:val="00FB2614"/>
    <w:rsid w:val="00FD2AF6"/>
    <w:rsid w:val="00FF1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C8E9"/>
  <w15:chartTrackingRefBased/>
  <w15:docId w15:val="{BBBD1C1B-8990-4FA7-8DF7-9005D8D8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0CC0"/>
  </w:style>
  <w:style w:type="paragraph" w:styleId="Heading1">
    <w:name w:val="heading 1"/>
    <w:basedOn w:val="Normal"/>
    <w:next w:val="Normal"/>
    <w:link w:val="Heading1Char"/>
    <w:qFormat/>
    <w:rsid w:val="006D3BC1"/>
    <w:pPr>
      <w:keepNext/>
      <w:numPr>
        <w:numId w:val="1"/>
      </w:numPr>
      <w:pBdr>
        <w:top w:val="single" w:sz="12" w:space="3" w:color="auto"/>
      </w:pBdr>
      <w:spacing w:before="360" w:after="180"/>
      <w:outlineLvl w:val="0"/>
    </w:pPr>
    <w:rPr>
      <w:rFonts w:ascii="Arial" w:eastAsia="Malgun Gothic" w:hAnsi="Arial" w:cs="Arial"/>
      <w:bCs/>
      <w:sz w:val="36"/>
      <w:szCs w:val="32"/>
      <w:lang w:val="en-US" w:eastAsia="ja-JP"/>
    </w:rPr>
  </w:style>
  <w:style w:type="paragraph" w:styleId="Heading2">
    <w:name w:val="heading 2"/>
    <w:basedOn w:val="Heading1"/>
    <w:next w:val="Normal"/>
    <w:link w:val="Heading2Char"/>
    <w:qFormat/>
    <w:rsid w:val="006D3BC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6D3BC1"/>
    <w:pPr>
      <w:numPr>
        <w:ilvl w:val="2"/>
      </w:numPr>
      <w:tabs>
        <w:tab w:val="left" w:pos="360"/>
      </w:tabs>
      <w:spacing w:before="120" w:after="60"/>
      <w:ind w:left="432" w:hanging="432"/>
      <w:outlineLvl w:val="2"/>
    </w:pPr>
    <w:rPr>
      <w:bCs/>
      <w:sz w:val="28"/>
      <w:szCs w:val="26"/>
    </w:rPr>
  </w:style>
  <w:style w:type="paragraph" w:styleId="Heading4">
    <w:name w:val="heading 4"/>
    <w:basedOn w:val="Heading3"/>
    <w:next w:val="Normal"/>
    <w:link w:val="Heading4Char"/>
    <w:qFormat/>
    <w:rsid w:val="006D3BC1"/>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rsid w:val="006D3BC1"/>
    <w:pPr>
      <w:numPr>
        <w:ilvl w:val="4"/>
      </w:numPr>
      <w:outlineLvl w:val="4"/>
    </w:pPr>
    <w:rPr>
      <w:bCs/>
      <w:iCs w:val="0"/>
      <w:sz w:val="22"/>
      <w:szCs w:val="26"/>
    </w:rPr>
  </w:style>
  <w:style w:type="paragraph" w:styleId="Heading6">
    <w:name w:val="heading 6"/>
    <w:basedOn w:val="Normal"/>
    <w:next w:val="Normal"/>
    <w:link w:val="Heading6Char"/>
    <w:qFormat/>
    <w:rsid w:val="006D3BC1"/>
    <w:pPr>
      <w:numPr>
        <w:ilvl w:val="5"/>
        <w:numId w:val="1"/>
      </w:numPr>
      <w:spacing w:before="240" w:after="60"/>
      <w:outlineLvl w:val="5"/>
    </w:pPr>
    <w:rPr>
      <w:rFonts w:ascii="Arial" w:eastAsia="Malgun Gothic" w:hAnsi="Arial" w:cs="Times New Roman"/>
      <w:bCs/>
      <w:lang w:val="en-US" w:eastAsia="ja-JP"/>
    </w:rPr>
  </w:style>
  <w:style w:type="paragraph" w:styleId="Heading7">
    <w:name w:val="heading 7"/>
    <w:basedOn w:val="Normal"/>
    <w:next w:val="Normal"/>
    <w:link w:val="Heading7Char"/>
    <w:qFormat/>
    <w:rsid w:val="006D3BC1"/>
    <w:pPr>
      <w:numPr>
        <w:ilvl w:val="6"/>
        <w:numId w:val="1"/>
      </w:numPr>
      <w:spacing w:before="240" w:after="60"/>
      <w:outlineLvl w:val="6"/>
    </w:pPr>
    <w:rPr>
      <w:rFonts w:ascii="Arial" w:eastAsia="Malgun Gothic" w:hAnsi="Arial" w:cs="Times New Roman"/>
      <w:szCs w:val="24"/>
      <w:lang w:val="en-US" w:eastAsia="ja-JP"/>
    </w:rPr>
  </w:style>
  <w:style w:type="paragraph" w:styleId="Heading8">
    <w:name w:val="heading 8"/>
    <w:basedOn w:val="Normal"/>
    <w:next w:val="Normal"/>
    <w:link w:val="Heading8Char"/>
    <w:qFormat/>
    <w:rsid w:val="006D3BC1"/>
    <w:pPr>
      <w:numPr>
        <w:ilvl w:val="7"/>
        <w:numId w:val="1"/>
      </w:numPr>
      <w:spacing w:before="240" w:after="60"/>
      <w:outlineLvl w:val="7"/>
    </w:pPr>
    <w:rPr>
      <w:rFonts w:ascii="Arial" w:eastAsia="Malgun Gothic" w:hAnsi="Arial" w:cs="Times New Roman"/>
      <w:iCs/>
      <w:szCs w:val="24"/>
      <w:lang w:val="en-US" w:eastAsia="ja-JP"/>
    </w:rPr>
  </w:style>
  <w:style w:type="paragraph" w:styleId="Heading9">
    <w:name w:val="heading 9"/>
    <w:basedOn w:val="Normal"/>
    <w:next w:val="Normal"/>
    <w:link w:val="Heading9Char"/>
    <w:qFormat/>
    <w:rsid w:val="006D3BC1"/>
    <w:pPr>
      <w:numPr>
        <w:ilvl w:val="8"/>
        <w:numId w:val="1"/>
      </w:numPr>
      <w:spacing w:before="240" w:after="60"/>
      <w:outlineLvl w:val="8"/>
    </w:pPr>
    <w:rPr>
      <w:rFonts w:ascii="Arial" w:eastAsia="Malgun Gothic" w:hAnsi="Arial" w:cs="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BC1"/>
    <w:rPr>
      <w:rFonts w:ascii="Arial" w:eastAsia="Malgun Gothic" w:hAnsi="Arial" w:cs="Arial"/>
      <w:bCs/>
      <w:sz w:val="36"/>
      <w:szCs w:val="32"/>
      <w:lang w:val="en-US" w:eastAsia="ja-JP"/>
    </w:rPr>
  </w:style>
  <w:style w:type="character" w:customStyle="1" w:styleId="Heading2Char">
    <w:name w:val="Heading 2 Char"/>
    <w:basedOn w:val="DefaultParagraphFont"/>
    <w:link w:val="Heading2"/>
    <w:qFormat/>
    <w:rsid w:val="006D3BC1"/>
    <w:rPr>
      <w:rFonts w:ascii="Arial" w:eastAsia="Malgun Gothic" w:hAnsi="Arial" w:cs="Arial"/>
      <w:iCs/>
      <w:sz w:val="32"/>
      <w:szCs w:val="28"/>
      <w:lang w:val="en-US" w:eastAsia="ja-JP"/>
    </w:rPr>
  </w:style>
  <w:style w:type="character" w:customStyle="1" w:styleId="Heading3Char">
    <w:name w:val="Heading 3 Char"/>
    <w:basedOn w:val="DefaultParagraphFont"/>
    <w:link w:val="Heading3"/>
    <w:rsid w:val="006D3BC1"/>
    <w:rPr>
      <w:rFonts w:ascii="Arial" w:eastAsia="Malgun Gothic" w:hAnsi="Arial" w:cs="Arial"/>
      <w:bCs/>
      <w:iCs/>
      <w:sz w:val="28"/>
      <w:szCs w:val="26"/>
      <w:lang w:val="en-US" w:eastAsia="ja-JP"/>
    </w:rPr>
  </w:style>
  <w:style w:type="character" w:customStyle="1" w:styleId="Heading4Char">
    <w:name w:val="Heading 4 Char"/>
    <w:basedOn w:val="DefaultParagraphFont"/>
    <w:link w:val="Heading4"/>
    <w:rsid w:val="006D3BC1"/>
    <w:rPr>
      <w:rFonts w:ascii="Arial" w:eastAsia="Malgun Gothic" w:hAnsi="Arial" w:cs="Arial"/>
      <w:iCs/>
      <w:sz w:val="24"/>
      <w:szCs w:val="28"/>
      <w:lang w:val="en-US" w:eastAsia="ja-JP"/>
    </w:rPr>
  </w:style>
  <w:style w:type="character" w:customStyle="1" w:styleId="Heading5Char">
    <w:name w:val="Heading 5 Char"/>
    <w:basedOn w:val="DefaultParagraphFont"/>
    <w:link w:val="Heading5"/>
    <w:rsid w:val="006D3BC1"/>
    <w:rPr>
      <w:rFonts w:ascii="Arial" w:eastAsia="Malgun Gothic" w:hAnsi="Arial" w:cs="Arial"/>
      <w:bCs/>
      <w:szCs w:val="26"/>
      <w:lang w:val="en-US" w:eastAsia="ja-JP"/>
    </w:rPr>
  </w:style>
  <w:style w:type="character" w:customStyle="1" w:styleId="Heading6Char">
    <w:name w:val="Heading 6 Char"/>
    <w:basedOn w:val="DefaultParagraphFont"/>
    <w:link w:val="Heading6"/>
    <w:rsid w:val="006D3BC1"/>
    <w:rPr>
      <w:rFonts w:ascii="Arial" w:eastAsia="Malgun Gothic" w:hAnsi="Arial" w:cs="Times New Roman"/>
      <w:bCs/>
      <w:lang w:val="en-US" w:eastAsia="ja-JP"/>
    </w:rPr>
  </w:style>
  <w:style w:type="character" w:customStyle="1" w:styleId="Heading7Char">
    <w:name w:val="Heading 7 Char"/>
    <w:basedOn w:val="DefaultParagraphFont"/>
    <w:link w:val="Heading7"/>
    <w:rsid w:val="006D3BC1"/>
    <w:rPr>
      <w:rFonts w:ascii="Arial" w:eastAsia="Malgun Gothic" w:hAnsi="Arial" w:cs="Times New Roman"/>
      <w:szCs w:val="24"/>
      <w:lang w:val="en-US" w:eastAsia="ja-JP"/>
    </w:rPr>
  </w:style>
  <w:style w:type="character" w:customStyle="1" w:styleId="Heading8Char">
    <w:name w:val="Heading 8 Char"/>
    <w:basedOn w:val="DefaultParagraphFont"/>
    <w:link w:val="Heading8"/>
    <w:rsid w:val="006D3BC1"/>
    <w:rPr>
      <w:rFonts w:ascii="Arial" w:eastAsia="Malgun Gothic" w:hAnsi="Arial" w:cs="Times New Roman"/>
      <w:iCs/>
      <w:szCs w:val="24"/>
      <w:lang w:val="en-US" w:eastAsia="ja-JP"/>
    </w:rPr>
  </w:style>
  <w:style w:type="character" w:customStyle="1" w:styleId="Heading9Char">
    <w:name w:val="Heading 9 Char"/>
    <w:basedOn w:val="DefaultParagraphFont"/>
    <w:link w:val="Heading9"/>
    <w:rsid w:val="006D3BC1"/>
    <w:rPr>
      <w:rFonts w:ascii="Arial" w:eastAsia="Malgun Gothic" w:hAnsi="Arial" w:cs="Arial"/>
      <w:lang w:val="en-US" w:eastAsia="ja-JP"/>
    </w:rPr>
  </w:style>
  <w:style w:type="paragraph" w:styleId="ListParagraph">
    <w:name w:val="List Paragraph"/>
    <w:basedOn w:val="Normal"/>
    <w:uiPriority w:val="34"/>
    <w:qFormat/>
    <w:rsid w:val="00C028E9"/>
    <w:pPr>
      <w:ind w:left="720"/>
      <w:contextualSpacing/>
    </w:pPr>
  </w:style>
  <w:style w:type="character" w:customStyle="1" w:styleId="maintextChar">
    <w:name w:val="main text Char"/>
    <w:link w:val="maintext"/>
    <w:qFormat/>
    <w:locked/>
    <w:rsid w:val="00696B2E"/>
    <w:rPr>
      <w:rFonts w:eastAsia="Malgun Gothic" w:cs="Batang"/>
      <w:lang w:eastAsia="ko-KR"/>
    </w:rPr>
  </w:style>
  <w:style w:type="paragraph" w:customStyle="1" w:styleId="maintext">
    <w:name w:val="main text"/>
    <w:basedOn w:val="Normal"/>
    <w:link w:val="maintextChar"/>
    <w:qFormat/>
    <w:rsid w:val="00696B2E"/>
    <w:pPr>
      <w:spacing w:before="60" w:after="60" w:line="288" w:lineRule="auto"/>
      <w:ind w:firstLineChars="200" w:firstLine="200"/>
      <w:jc w:val="both"/>
    </w:pPr>
    <w:rPr>
      <w:rFonts w:eastAsia="Malgun Gothic" w:cs="Batang"/>
      <w:lang w:eastAsia="ko-KR"/>
    </w:rPr>
  </w:style>
  <w:style w:type="table" w:styleId="TableGrid">
    <w:name w:val="Table Grid"/>
    <w:basedOn w:val="TableNormal"/>
    <w:uiPriority w:val="39"/>
    <w:rsid w:val="0069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8D2B46"/>
    <w:pPr>
      <w:spacing w:line="240" w:lineRule="auto"/>
    </w:pPr>
    <w:rPr>
      <w:rFonts w:ascii="Times New Roman" w:hAnsi="Times New Roman"/>
      <w:b/>
      <w:bCs/>
    </w:rPr>
  </w:style>
  <w:style w:type="paragraph" w:customStyle="1" w:styleId="Agreement">
    <w:name w:val="Agreement"/>
    <w:basedOn w:val="Normal"/>
    <w:next w:val="Normal"/>
    <w:qFormat/>
    <w:rsid w:val="003957A3"/>
    <w:pPr>
      <w:numPr>
        <w:numId w:val="7"/>
      </w:numPr>
      <w:tabs>
        <w:tab w:val="num" w:pos="1619"/>
      </w:tabs>
      <w:spacing w:before="60" w:after="0" w:line="240" w:lineRule="auto"/>
      <w:ind w:left="1619"/>
    </w:pPr>
    <w:rPr>
      <w:rFonts w:ascii="Arial" w:eastAsia="MS Mincho" w:hAnsi="Arial" w:cs="Times New Roman"/>
      <w:b/>
      <w:sz w:val="20"/>
      <w:szCs w:val="24"/>
      <w:lang w:eastAsia="en-GB"/>
    </w:rPr>
  </w:style>
  <w:style w:type="paragraph" w:styleId="Header">
    <w:name w:val="header"/>
    <w:basedOn w:val="Normal"/>
    <w:link w:val="HeaderChar"/>
    <w:uiPriority w:val="99"/>
    <w:rsid w:val="009E7268"/>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9E7268"/>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44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Xiaomi2</cp:lastModifiedBy>
  <cp:revision>3</cp:revision>
  <cp:lastPrinted>2022-11-04T06:30:00Z</cp:lastPrinted>
  <dcterms:created xsi:type="dcterms:W3CDTF">2022-11-04T07:12:00Z</dcterms:created>
  <dcterms:modified xsi:type="dcterms:W3CDTF">2022-11-04T07:23:00Z</dcterms:modified>
</cp:coreProperties>
</file>